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jc w:val="center"/>
        <w:rPr>
          <w:b w:val="1"/>
          <w:bCs w:val="1"/>
          <w:color w:val="3b9ad5"/>
          <w:sz w:val="28"/>
          <w:szCs w:val="28"/>
        </w:rPr>
      </w:pPr>
      <w:r w:rsidDel="00000000" w:rsidR="00000000" w:rsidRPr="00000000">
        <w:rPr>
          <w:b w:val="1"/>
          <w:bCs w:val="1"/>
          <w:color w:val="3b9ad5"/>
          <w:sz w:val="28"/>
          <w:szCs w:val="28"/>
          <w:rtl w:val="0"/>
        </w:rPr>
        <w:t xml:space="preserve">SOLUTIONS FOR MSP’s</w:t>
      </w:r>
    </w:p>
    <w:p w:rsidR="00000000" w:rsidDel="00000000" w:rsidP="00000000" w:rsidRDefault="00000000" w:rsidRPr="00000000" w14:paraId="00000002">
      <w:pPr>
        <w:widowControl w:val="0"/>
        <w:bidi w:val="1"/>
        <w:spacing w:line="288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עבור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אינטגרטורים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ספקי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שירותי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גיבוי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ניטור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ואבטחה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מנוהלים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MSP</w:t>
      </w:r>
    </w:p>
    <w:p w:rsidR="00000000" w:rsidDel="00000000" w:rsidP="00000000" w:rsidRDefault="00000000" w:rsidRPr="00000000" w14:paraId="00000003">
      <w:pPr>
        <w:widowControl w:val="0"/>
        <w:bidi w:val="1"/>
        <w:spacing w:line="288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31680" w:topFromText="180" w:bottomFromText="180" w:vertAnchor="text" w:horzAnchor="text" w:tblpX="-120" w:tblpY="0"/>
        <w:bidiVisual w:val="1"/>
        <w:tblW w:w="10560.119999999999" w:type="dxa"/>
        <w:jc w:val="left"/>
        <w:tblInd w:w="-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320"/>
        <w:gridCol w:w="2985.12"/>
        <w:gridCol w:w="4950"/>
        <w:tblGridChange w:id="0">
          <w:tblGrid>
            <w:gridCol w:w="1305"/>
            <w:gridCol w:w="1320"/>
            <w:gridCol w:w="2985.12"/>
            <w:gridCol w:w="4950"/>
          </w:tblGrid>
        </w:tblGridChange>
      </w:tblGrid>
      <w:tr>
        <w:trPr>
          <w:cantSplit w:val="0"/>
          <w:trHeight w:val="546.7968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bidi w:val="1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סרטון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PDF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bidi w:val="1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שירות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חודשי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תיאור</w:t>
            </w:r>
          </w:p>
        </w:tc>
      </w:tr>
      <w:tr>
        <w:trPr>
          <w:cantSplit w:val="0"/>
          <w:trHeight w:val="1087.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3979" cy="347472"/>
                    <wp:effectExtent b="0" l="0" r="0" t="0"/>
                    <wp:docPr id="15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3979" cy="34747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500063" cy="565288"/>
                    <wp:effectExtent b="0" l="0" r="0" t="0"/>
                    <wp:docPr id="19" name="image12.png"/>
                    <a:graphic>
                      <a:graphicData uri="http://schemas.openxmlformats.org/drawingml/2006/picture">
                        <pic:pic>
                          <pic:nvPicPr>
                            <pic:cNvPr id="0" name="image12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0063" cy="5652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90"/>
              <w:jc w:val="righ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XDR / SIEM / SOC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שירות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לניטור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מערכות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אבטחת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בארגון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כולל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ניטור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מנוהל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SentinelONE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EDR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Office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365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</w:t>
            </w:r>
          </w:p>
        </w:tc>
      </w:tr>
      <w:tr>
        <w:trPr>
          <w:cantSplit w:val="0"/>
          <w:trHeight w:val="1303.986816406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3979" cy="347472"/>
                    <wp:effectExtent b="0" l="0" r="0" t="0"/>
                    <wp:docPr id="10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3979" cy="34747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16" name="image11.png"/>
                    <a:graphic>
                      <a:graphicData uri="http://schemas.openxmlformats.org/drawingml/2006/picture">
                        <pic:pic>
                          <pic:nvPicPr>
                            <pic:cNvPr id="0" name="image11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31.2" w:lineRule="auto"/>
              <w:ind w:right="255"/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Security Scorecard - Third Party Risk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331.2" w:lineRule="auto"/>
              <w:ind w:right="6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אבטחת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ספקים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</w:tr>
      <w:tr>
        <w:trPr>
          <w:cantSplit w:val="0"/>
          <w:trHeight w:val="1303.9868164062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11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544879" cy="600479"/>
                    <wp:effectExtent b="0" l="0" r="0" t="0"/>
                    <wp:docPr id="9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4879" cy="600479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90"/>
              <w:jc w:val="right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Office 365 Backup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88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גיבוי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נתונים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חודשי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סביבת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אופיס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365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ברקודה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נפח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אחסון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Exchange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SharePoint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OneDrive</w:t>
            </w:r>
          </w:p>
          <w:p w:rsidR="00000000" w:rsidDel="00000000" w:rsidP="00000000" w:rsidRDefault="00000000" w:rsidRPr="00000000" w14:paraId="00000014">
            <w:pPr>
              <w:widowControl w:val="0"/>
              <w:bidi w:val="1"/>
              <w:spacing w:line="288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.7968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2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14" name="image10.png"/>
                    <a:graphic>
                      <a:graphicData uri="http://schemas.openxmlformats.org/drawingml/2006/picture">
                        <pic:pic>
                          <pic:nvPicPr>
                            <pic:cNvPr id="0" name="image10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WAF-as-a-Service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שירות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אבטחה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והגנה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אפליקטיבית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יישומים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ואפליקציות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WEB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מהענן</w:t>
            </w:r>
          </w:p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ind w:right="9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.7968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12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hyperlink r:id="rId2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4" name="image10.png"/>
                    <a:graphic>
                      <a:graphicData uri="http://schemas.openxmlformats.org/drawingml/2006/picture">
                        <pic:pic>
                          <pic:nvPicPr>
                            <pic:cNvPr id="0" name="image10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Progress WhatsUp Glod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מערכת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ניטור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תחנות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ועמדות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ספקי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שירות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MSP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1086.7968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hyperlink r:id="rId23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hyperlink r:id="rId24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17" name="image9.png"/>
                    <a:graphic>
                      <a:graphicData uri="http://schemas.openxmlformats.org/drawingml/2006/picture">
                        <pic:pic>
                          <pic:nvPicPr>
                            <pic:cNvPr id="0" name="image9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right="90"/>
              <w:jc w:val="center"/>
              <w:rPr>
                <w:sz w:val="20"/>
                <w:szCs w:val="20"/>
              </w:rPr>
            </w:pPr>
            <w:bookmarkStart w:colFirst="0" w:colLast="0" w:name="_epoy8kxfswot" w:id="0"/>
            <w:bookmarkEnd w:id="0"/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Email Security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Heading5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0" w:before="0" w:line="240" w:lineRule="auto"/>
              <w:ind w:right="90"/>
              <w:rPr>
                <w:color w:val="000000"/>
                <w:sz w:val="20"/>
                <w:szCs w:val="20"/>
              </w:rPr>
            </w:pPr>
            <w:bookmarkStart w:colFirst="0" w:colLast="0" w:name="_epoy8kxfswot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שירות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ענן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חודשי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להגנה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בפני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איומים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מבוססי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דוא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כגון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ספאם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פישינג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תוכנות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זדוניות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ותוכנות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כופר</w: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.79687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hyperlink r:id="rId26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3" name="image8.png"/>
                    <a:graphic>
                      <a:graphicData uri="http://schemas.openxmlformats.org/drawingml/2006/picture">
                        <pic:pic>
                          <pic:nvPicPr>
                            <pic:cNvPr id="0" name="image8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hyperlink r:id="rId27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6" name="image14.png"/>
                    <a:graphic>
                      <a:graphicData uri="http://schemas.openxmlformats.org/drawingml/2006/picture">
                        <pic:pic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9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9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9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Cloud Archiving Service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90"/>
              <w:jc w:val="center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90"/>
              <w:jc w:val="center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שירות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חודשי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לארכוב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מבוסס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Exchange, Microsoft Office 365   </w:t>
            </w:r>
          </w:p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מאפשר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יכולת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אחסון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ושליפת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בודד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תיבת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עמידה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ברגולציה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ניהול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תקין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</w:p>
        </w:tc>
      </w:tr>
      <w:tr>
        <w:trPr>
          <w:cantSplit w:val="0"/>
          <w:trHeight w:val="1086.7968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hyperlink r:id="rId29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3979" cy="347472"/>
                    <wp:effectExtent b="0" l="0" r="0" t="0"/>
                    <wp:docPr id="18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3979" cy="34747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433388" cy="494214"/>
                    <wp:effectExtent b="0" l="0" r="0" t="0"/>
                    <wp:docPr id="13" name="image12.png"/>
                    <a:graphic>
                      <a:graphicData uri="http://schemas.openxmlformats.org/drawingml/2006/picture">
                        <pic:pic>
                          <pic:nvPicPr>
                            <pic:cNvPr id="0" name="image12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33388" cy="49421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720" w:right="86.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right="86.4"/>
              <w:jc w:val="center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RMM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right="86.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מערכת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לניהול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וניטור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עמדות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כולל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management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השתלטות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מרחוק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וניהול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אבטחה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.303710937499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hyperlink r:id="rId3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485775" cy="342900"/>
                    <wp:effectExtent b="0" l="0" r="0" t="0"/>
                    <wp:docPr id="7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5775" cy="342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hyperlink r:id="rId33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542925" cy="622300"/>
                    <wp:effectExtent b="0" l="0" r="0" t="0"/>
                    <wp:docPr id="8" name="image13.png"/>
                    <a:graphic>
                      <a:graphicData uri="http://schemas.openxmlformats.org/drawingml/2006/picture">
                        <pic:pic>
                          <pic:nvPicPr>
                            <pic:cNvPr id="0" name="image13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2925" cy="62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9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9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90"/>
              <w:jc w:val="center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Barracuda Intronis Backup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bidi w:val="1"/>
              <w:spacing w:line="331.2" w:lineRule="auto"/>
              <w:ind w:right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גיבוי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ושחזור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קבצים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חודשי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ברקודה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כולל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תיקיות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אפליקציות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ושרתים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פיזיים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וירטואלים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מקומיים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9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3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1176338</wp:posOffset>
          </wp:positionH>
          <wp:positionV relativeFrom="paragraph">
            <wp:posOffset>-342899</wp:posOffset>
          </wp:positionV>
          <wp:extent cx="3591816" cy="8001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1816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QD9THxWACVQ" TargetMode="External"/><Relationship Id="rId22" Type="http://schemas.openxmlformats.org/officeDocument/2006/relationships/hyperlink" Target="https://www.whatsupgold.com/msp-edition" TargetMode="External"/><Relationship Id="rId21" Type="http://schemas.openxmlformats.org/officeDocument/2006/relationships/hyperlink" Target="https://d34smkdb128qfi.cloudfront.net/docs/librariesprovider2/default-document-library/whatsup-gold-msp-ritm0129381.pdf?sfvrsn=396e2da5_40" TargetMode="External"/><Relationship Id="rId24" Type="http://schemas.openxmlformats.org/officeDocument/2006/relationships/hyperlink" Target="https://assets.barracuda.com/assets/docs/dms/DS_Email_Protection_US.pdf" TargetMode="External"/><Relationship Id="rId23" Type="http://schemas.openxmlformats.org/officeDocument/2006/relationships/hyperlink" Target="https://share.vidyard.com/watch/JHzfH6WzFXnBo7Hc2XQvmD?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26" Type="http://schemas.openxmlformats.org/officeDocument/2006/relationships/hyperlink" Target="https://share.vidyard.com/watch/V5GM65JzQseUtRjisi6uHz?" TargetMode="External"/><Relationship Id="rId25" Type="http://schemas.openxmlformats.org/officeDocument/2006/relationships/hyperlink" Target="https://www.barracuda.com/products/email-protection" TargetMode="External"/><Relationship Id="rId28" Type="http://schemas.openxmlformats.org/officeDocument/2006/relationships/hyperlink" Target="https://www.barracuda.com/products/email-protection/message-archiver" TargetMode="External"/><Relationship Id="rId27" Type="http://schemas.openxmlformats.org/officeDocument/2006/relationships/hyperlink" Target="https://app.barracuda.com/resources/Barracuda_Cloud_Archiving_Service_SB_Archiving_as_a_Service_US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auG17g2Upcg?si=yfu21b43zjxwiYus" TargetMode="External"/><Relationship Id="rId29" Type="http://schemas.openxmlformats.org/officeDocument/2006/relationships/hyperlink" Target="https://youtu.be/gi43Ktw5LxU?list=TLGGSUPXdOTO8dMxOTAyMjAyMw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www.barracudamsp.com/content/dam/barracuda-msp/docs/data-sheets/DS-Barracuda-XDR.pdf" TargetMode="External"/><Relationship Id="rId31" Type="http://schemas.openxmlformats.org/officeDocument/2006/relationships/hyperlink" Target="https://www.barracudamsp.com/products/rmm/barracuda-rmm" TargetMode="External"/><Relationship Id="rId30" Type="http://schemas.openxmlformats.org/officeDocument/2006/relationships/hyperlink" Target="https://www.barracudamsp.com/content/dam/barracuda-msp/docs/data-sheets/DS-Barracuda-RMM.pdf" TargetMode="External"/><Relationship Id="rId11" Type="http://schemas.openxmlformats.org/officeDocument/2006/relationships/hyperlink" Target="https://www.youtube.com/watch?v=2JwUpUA1IrA" TargetMode="External"/><Relationship Id="rId33" Type="http://schemas.openxmlformats.org/officeDocument/2006/relationships/hyperlink" Target="https://www.barracudamsp.com/content/dam/barracuda-msp/docs/resources/pdf/data-sheets/DS_IntronisBackup_FINAL.pdf" TargetMode="External"/><Relationship Id="rId10" Type="http://schemas.openxmlformats.org/officeDocument/2006/relationships/hyperlink" Target="https://www.barracudamsp.com/products/xdr/extended-detection-and-response-xdr" TargetMode="External"/><Relationship Id="rId32" Type="http://schemas.openxmlformats.org/officeDocument/2006/relationships/hyperlink" Target="https://share.vidyard.com/watch/fKjEda1LUWRka5XNXke3k7?" TargetMode="External"/><Relationship Id="rId13" Type="http://schemas.openxmlformats.org/officeDocument/2006/relationships/hyperlink" Target="https://securityscorecard.com/product/security-ratings/" TargetMode="External"/><Relationship Id="rId35" Type="http://schemas.openxmlformats.org/officeDocument/2006/relationships/header" Target="header1.xml"/><Relationship Id="rId12" Type="http://schemas.openxmlformats.org/officeDocument/2006/relationships/hyperlink" Target="https://securityscorecard.pathfactory.com/cybersecurity/how-do-security-rati#page=1" TargetMode="External"/><Relationship Id="rId34" Type="http://schemas.openxmlformats.org/officeDocument/2006/relationships/hyperlink" Target="https://www.barracudamsp.com/products/data-protection/intronis-backup" TargetMode="External"/><Relationship Id="rId15" Type="http://schemas.openxmlformats.org/officeDocument/2006/relationships/hyperlink" Target="https://assets.barracuda.com/assets/docs/dms/DS_CCB_1-5_US-2_-_posted.pdf" TargetMode="External"/><Relationship Id="rId14" Type="http://schemas.openxmlformats.org/officeDocument/2006/relationships/hyperlink" Target="https://youtu.be/8XIApXd65RY" TargetMode="External"/><Relationship Id="rId17" Type="http://schemas.openxmlformats.org/officeDocument/2006/relationships/hyperlink" Target="https://share.vidyard.com/watch/eXu6hYTTJ62aZfbHqfza7N?autoplay=2&amp;second=1.42" TargetMode="External"/><Relationship Id="rId16" Type="http://schemas.openxmlformats.org/officeDocument/2006/relationships/hyperlink" Target="https://www.barracuda.com/products/email-protection" TargetMode="External"/><Relationship Id="rId19" Type="http://schemas.openxmlformats.org/officeDocument/2006/relationships/hyperlink" Target="https://www.barracuda.com/products/application-protection/waf-as-a-service" TargetMode="External"/><Relationship Id="rId18" Type="http://schemas.openxmlformats.org/officeDocument/2006/relationships/hyperlink" Target="https://assets.barracuda.com/assets/docs/dms/DS_WAF-as-a-Service_US_AWS_Azure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